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eastAsia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/>
          <w:bCs/>
          <w:color w:val="000000"/>
          <w:sz w:val="30"/>
          <w:szCs w:val="30"/>
        </w:rPr>
        <w:t>武汉轻工大学硕士研究生入学《宏观经济学》考试大纲</w:t>
      </w: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b/>
          <w:bCs/>
          <w:color w:val="000000"/>
          <w:sz w:val="28"/>
        </w:rPr>
        <w:t>科目代码（</w:t>
      </w:r>
      <w:r>
        <w:rPr>
          <w:rFonts w:hint="default" w:ascii="Times New Roman" w:hAnsi="Times New Roman" w:eastAsia="Times New Roman"/>
          <w:b/>
          <w:bCs/>
          <w:color w:val="000000"/>
          <w:sz w:val="28"/>
        </w:rPr>
        <w:t>811</w:t>
      </w:r>
      <w:r>
        <w:rPr>
          <w:rFonts w:hint="eastAsia" w:ascii="宋体" w:hAnsi="宋体" w:eastAsia="宋体"/>
          <w:b/>
          <w:bCs/>
          <w:color w:val="000000"/>
          <w:sz w:val="28"/>
        </w:rPr>
        <w:t>）</w:t>
      </w:r>
    </w:p>
    <w:p>
      <w:pPr>
        <w:spacing w:beforeLines="0" w:afterLines="0"/>
        <w:jc w:val="left"/>
        <w:rPr>
          <w:rFonts w:hint="eastAsia" w:ascii="宋体" w:hAnsi="宋体" w:eastAsia="宋体"/>
          <w:b/>
          <w:bCs/>
          <w:color w:val="000000"/>
          <w:sz w:val="23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第一部分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考试说明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一、考试性质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宏观经济学是我校应用经济学硕士研究生初试的专业课程之一。考试目标是要求考生掌握经济学的基本概念、原理和方法，能够运用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相关的</w:t>
      </w:r>
      <w:r>
        <w:rPr>
          <w:rFonts w:hint="eastAsia" w:ascii="宋体" w:hAnsi="宋体" w:eastAsia="宋体"/>
          <w:color w:val="000000"/>
          <w:sz w:val="24"/>
          <w:szCs w:val="24"/>
        </w:rPr>
        <w:t>基本知识分析和解释国内外经济发展中的现象，并具备初步的研究与创新能力。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二、考试形式与试卷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（一）答卷方式：闭卷、笔试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（二）答题时间：</w:t>
      </w:r>
      <w:r>
        <w:rPr>
          <w:rFonts w:hint="default" w:ascii="宋体" w:hAnsi="宋体" w:eastAsia="宋体"/>
          <w:color w:val="000000"/>
          <w:sz w:val="24"/>
          <w:szCs w:val="24"/>
        </w:rPr>
        <w:t>180</w:t>
      </w:r>
      <w:r>
        <w:rPr>
          <w:rFonts w:hint="eastAsia" w:ascii="宋体" w:hAnsi="宋体" w:eastAsia="宋体"/>
          <w:color w:val="000000"/>
          <w:sz w:val="24"/>
          <w:szCs w:val="24"/>
        </w:rPr>
        <w:t>分钟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（三）试卷分数及题型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满分</w:t>
      </w:r>
      <w:r>
        <w:rPr>
          <w:rFonts w:hint="default" w:ascii="宋体" w:hAnsi="宋体" w:eastAsia="宋体"/>
          <w:color w:val="000000"/>
          <w:sz w:val="24"/>
          <w:szCs w:val="24"/>
        </w:rPr>
        <w:t>150</w:t>
      </w:r>
      <w:r>
        <w:rPr>
          <w:rFonts w:hint="eastAsia" w:ascii="宋体" w:hAnsi="宋体" w:eastAsia="宋体"/>
          <w:color w:val="000000"/>
          <w:sz w:val="24"/>
          <w:szCs w:val="24"/>
        </w:rPr>
        <w:t>分，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题型涵盖</w:t>
      </w:r>
      <w:r>
        <w:rPr>
          <w:rFonts w:hint="eastAsia" w:ascii="宋体" w:hAnsi="宋体" w:eastAsia="宋体"/>
          <w:color w:val="000000"/>
          <w:sz w:val="24"/>
          <w:szCs w:val="24"/>
        </w:rPr>
        <w:t>名词解释、简答题、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计算、</w:t>
      </w:r>
      <w:r>
        <w:rPr>
          <w:rFonts w:hint="eastAsia" w:ascii="宋体" w:hAnsi="宋体" w:eastAsia="宋体"/>
          <w:color w:val="000000"/>
          <w:sz w:val="24"/>
          <w:szCs w:val="24"/>
        </w:rPr>
        <w:t>案例分析、论述题等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。</w:t>
      </w:r>
    </w:p>
    <w:p>
      <w:pPr>
        <w:spacing w:beforeLines="0" w:afterLines="0"/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第二部分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考察要点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一、宏观经济学基本概念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国内生产总值（GDP）、名义GDP、消费品物价指数（CPI）、消费者信心指数（CCI）、工业品出厂价格指数（PPI）、广义货币（M2）供应量、储蓄率、汇率、美元指数、生产者价格指数等。国外经济形势与国家宏观政策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color w:val="000000"/>
          <w:sz w:val="24"/>
          <w:szCs w:val="24"/>
        </w:rPr>
        <w:t>宏观经济思维与企业经营、投资理财及消费决策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二、国民收入核算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国民经济各总量指标的概念及其它们的核算方法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国民收入核算中主要指标及其相互关系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三、消费和储蓄理论、投资理论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萨伊定律、需求不足定律、三大基本定律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消费与储蓄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储蓄与投资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国民收入决定的收入支出模型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均衡国民收入和充分就业的国民收入的区别、简单的凯恩斯宏观经济模型、各种乘数的含义以及均衡国民收入的决定和不均衡时的调节方法。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五、货币需求和货币供给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货币需求的动机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货币供给理论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六、扩展的凯恩斯宏观经济模型：</w:t>
      </w:r>
      <w:r>
        <w:rPr>
          <w:rFonts w:hint="default" w:ascii="宋体" w:hAnsi="宋体"/>
          <w:b/>
          <w:bCs/>
          <w:color w:val="000000"/>
          <w:sz w:val="24"/>
          <w:szCs w:val="24"/>
          <w:lang w:val="en-US" w:eastAsia="zh-CN"/>
        </w:rPr>
        <w:t>IS-LM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模型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七、国民收入决定的</w:t>
      </w:r>
      <w:r>
        <w:rPr>
          <w:rFonts w:hint="default" w:ascii="宋体" w:hAnsi="宋体"/>
          <w:b/>
          <w:bCs/>
          <w:color w:val="000000"/>
          <w:sz w:val="24"/>
          <w:szCs w:val="24"/>
          <w:lang w:val="en-US" w:eastAsia="zh-CN"/>
        </w:rPr>
        <w:t>AD-AS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模型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八、宏观经济的主要问题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社会经济资源的有效配置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失业和通货膨胀，通货膨胀的衡量及其效应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政府在社会经济生活中的作用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长期经济增长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九、宏观经济政策的原理和运用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宏观经济政策目标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宏观财政政策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宏观货币政策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1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宏观政府政策和货币政策的协调应用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十、经济周期波动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经济周期概念、类型及原因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汉森</w:t>
      </w:r>
      <w:r>
        <w:rPr>
          <w:rFonts w:hint="default" w:ascii="宋体" w:hAnsi="宋体" w:eastAsia="宋体"/>
          <w:color w:val="000000"/>
          <w:sz w:val="24"/>
          <w:szCs w:val="24"/>
        </w:rPr>
        <w:t>—</w:t>
      </w:r>
      <w:r>
        <w:rPr>
          <w:rFonts w:hint="eastAsia" w:ascii="宋体" w:hAnsi="宋体" w:eastAsia="宋体"/>
          <w:color w:val="000000"/>
          <w:sz w:val="24"/>
          <w:szCs w:val="24"/>
        </w:rPr>
        <w:t>萨缪尔森模型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十一、经济增长理论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经济增长的含义、衡量和特点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哈罗德</w:t>
      </w:r>
      <w:r>
        <w:rPr>
          <w:rFonts w:hint="default" w:ascii="宋体" w:hAnsi="宋体" w:eastAsia="宋体"/>
          <w:color w:val="000000"/>
          <w:sz w:val="24"/>
          <w:szCs w:val="24"/>
        </w:rPr>
        <w:t>—</w:t>
      </w:r>
      <w:r>
        <w:rPr>
          <w:rFonts w:hint="eastAsia" w:ascii="宋体" w:hAnsi="宋体" w:eastAsia="宋体"/>
          <w:color w:val="000000"/>
          <w:sz w:val="24"/>
          <w:szCs w:val="24"/>
        </w:rPr>
        <w:t>多马模型、新古典经济增长模型（索洛）、新剑桥经济增长模型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技术进步与经济增长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经济增长因素分析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2" w:firstLineChars="200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复习参考书目：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高鸿业，《西方经济学（宏观部分）》第八版，中国人民大学出版社，2021年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</w:p>
    <w:sectPr>
      <w:pgSz w:w="11906" w:h="17338"/>
      <w:pgMar w:top="2036" w:right="1761" w:bottom="1401" w:left="1597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D413CD"/>
    <w:rsid w:val="09EF5C57"/>
    <w:rsid w:val="0A1C69E8"/>
    <w:rsid w:val="12142A09"/>
    <w:rsid w:val="12BC31C7"/>
    <w:rsid w:val="14C54616"/>
    <w:rsid w:val="16B02AD4"/>
    <w:rsid w:val="178E11B5"/>
    <w:rsid w:val="1B67400B"/>
    <w:rsid w:val="20065205"/>
    <w:rsid w:val="2A732B4D"/>
    <w:rsid w:val="2EE92686"/>
    <w:rsid w:val="2F470DC4"/>
    <w:rsid w:val="340025A2"/>
    <w:rsid w:val="365F261C"/>
    <w:rsid w:val="3F4E2B76"/>
    <w:rsid w:val="47146AD0"/>
    <w:rsid w:val="6AB2029B"/>
    <w:rsid w:val="6DE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2021-07-14T06:21:00Z</dcterms:created>
  <dc:creator>FRO</dc:creator>
  <cp:lastModifiedBy>sunnywang</cp:lastModifiedBy>
  <dcterms:modified xsi:type="dcterms:W3CDTF">2022-05-25T10:39:31Z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