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A400" w14:textId="77777777" w:rsidR="00E32242" w:rsidRDefault="00C64E06">
      <w:pPr>
        <w:spacing w:line="360" w:lineRule="auto"/>
        <w:jc w:val="center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武汉轻工大学硕士研究生入学《金融学综合》考试大纲</w:t>
      </w:r>
    </w:p>
    <w:p w14:paraId="79258A62" w14:textId="77777777" w:rsidR="00E32242" w:rsidRDefault="00C64E06">
      <w:pPr>
        <w:spacing w:line="360" w:lineRule="auto"/>
        <w:jc w:val="center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科目代码（</w:t>
      </w:r>
      <w:r>
        <w:rPr>
          <w:rFonts w:hint="eastAsia"/>
          <w:b/>
          <w:bCs/>
          <w:sz w:val="28"/>
          <w:szCs w:val="24"/>
        </w:rPr>
        <w:t>431</w:t>
      </w:r>
      <w:r>
        <w:rPr>
          <w:rFonts w:hint="eastAsia"/>
          <w:b/>
          <w:bCs/>
          <w:sz w:val="28"/>
          <w:szCs w:val="24"/>
        </w:rPr>
        <w:t>）</w:t>
      </w:r>
    </w:p>
    <w:p w14:paraId="303AD181" w14:textId="77777777" w:rsidR="00E32242" w:rsidRDefault="00C64E06">
      <w:pPr>
        <w:spacing w:line="360" w:lineRule="auto"/>
        <w:jc w:val="center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第一部分</w:t>
      </w:r>
      <w:r>
        <w:rPr>
          <w:rFonts w:hint="eastAsia"/>
          <w:b/>
          <w:bCs/>
          <w:sz w:val="24"/>
          <w:szCs w:val="22"/>
        </w:rPr>
        <w:t xml:space="preserve"> </w:t>
      </w:r>
      <w:r>
        <w:rPr>
          <w:b/>
          <w:bCs/>
          <w:sz w:val="24"/>
          <w:szCs w:val="22"/>
        </w:rPr>
        <w:t xml:space="preserve"> </w:t>
      </w:r>
      <w:r>
        <w:rPr>
          <w:rFonts w:hint="eastAsia"/>
          <w:b/>
          <w:bCs/>
          <w:sz w:val="24"/>
          <w:szCs w:val="22"/>
        </w:rPr>
        <w:t>考试说明</w:t>
      </w:r>
    </w:p>
    <w:p w14:paraId="5B841E19" w14:textId="77777777" w:rsidR="00E32242" w:rsidRDefault="00C64E06">
      <w:pPr>
        <w:spacing w:line="360" w:lineRule="auto"/>
        <w:rPr>
          <w:b/>
          <w:bCs/>
          <w:sz w:val="22"/>
          <w:szCs w:val="21"/>
        </w:rPr>
      </w:pPr>
      <w:r>
        <w:rPr>
          <w:rFonts w:hint="eastAsia"/>
          <w:b/>
          <w:bCs/>
          <w:sz w:val="22"/>
          <w:szCs w:val="21"/>
        </w:rPr>
        <w:t>一、考试性质</w:t>
      </w:r>
    </w:p>
    <w:p w14:paraId="768395EC" w14:textId="77777777" w:rsidR="00E32242" w:rsidRDefault="00C64E06">
      <w:pPr>
        <w:spacing w:line="360" w:lineRule="auto"/>
        <w:ind w:firstLineChars="200" w:firstLine="420"/>
      </w:pPr>
      <w:r>
        <w:rPr>
          <w:rFonts w:hint="eastAsia"/>
        </w:rPr>
        <w:t>金融</w:t>
      </w:r>
      <w:proofErr w:type="gramStart"/>
      <w:r>
        <w:rPr>
          <w:rFonts w:hint="eastAsia"/>
        </w:rPr>
        <w:t>学综合</w:t>
      </w:r>
      <w:proofErr w:type="gramEnd"/>
      <w:r>
        <w:rPr>
          <w:rFonts w:hint="eastAsia"/>
        </w:rPr>
        <w:t>是我校金融专业硕士研究生初试的专业课程之一。考试目标是要求考生掌握经济学和金融学的基本概念、原理和方法，能够运用有关基本知识分析和解释国内外金融经济运行中的现象，并具备初步的金融研究与创新能力。</w:t>
      </w:r>
    </w:p>
    <w:p w14:paraId="311B6DB4" w14:textId="77777777" w:rsidR="00E32242" w:rsidRDefault="00C64E06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二、考试形式与试卷</w:t>
      </w:r>
    </w:p>
    <w:p w14:paraId="044C6CAF" w14:textId="77777777" w:rsidR="00E32242" w:rsidRDefault="00C64E06">
      <w:pPr>
        <w:spacing w:line="360" w:lineRule="auto"/>
        <w:ind w:firstLineChars="200" w:firstLine="420"/>
      </w:pPr>
      <w:r>
        <w:rPr>
          <w:rFonts w:hint="eastAsia"/>
        </w:rPr>
        <w:t>（一）答卷方式：闭卷、笔试</w:t>
      </w:r>
    </w:p>
    <w:p w14:paraId="02F22455" w14:textId="77777777" w:rsidR="00E32242" w:rsidRDefault="00C64E06">
      <w:pPr>
        <w:spacing w:line="360" w:lineRule="auto"/>
        <w:ind w:firstLineChars="200" w:firstLine="420"/>
      </w:pPr>
      <w:r>
        <w:rPr>
          <w:rFonts w:hint="eastAsia"/>
        </w:rPr>
        <w:t>（二）答题时间：</w:t>
      </w:r>
      <w:r>
        <w:rPr>
          <w:rFonts w:hint="eastAsia"/>
        </w:rPr>
        <w:t>180</w:t>
      </w:r>
      <w:r>
        <w:rPr>
          <w:rFonts w:hint="eastAsia"/>
        </w:rPr>
        <w:t>分钟</w:t>
      </w:r>
    </w:p>
    <w:p w14:paraId="1E68918B" w14:textId="77777777" w:rsidR="00E32242" w:rsidRDefault="00C64E06">
      <w:pPr>
        <w:spacing w:line="360" w:lineRule="auto"/>
        <w:ind w:firstLineChars="200" w:firstLine="420"/>
      </w:pPr>
      <w:r>
        <w:rPr>
          <w:rFonts w:hint="eastAsia"/>
        </w:rPr>
        <w:t>（三）试卷分数及题型</w:t>
      </w:r>
    </w:p>
    <w:p w14:paraId="2CA451F9" w14:textId="77777777" w:rsidR="00E32242" w:rsidRDefault="00C64E06">
      <w:pPr>
        <w:spacing w:line="360" w:lineRule="auto"/>
        <w:ind w:firstLineChars="200" w:firstLine="420"/>
      </w:pPr>
      <w:r>
        <w:rPr>
          <w:rFonts w:hint="eastAsia"/>
        </w:rPr>
        <w:t>满分</w:t>
      </w:r>
      <w:r>
        <w:rPr>
          <w:rFonts w:hint="eastAsia"/>
        </w:rPr>
        <w:t>150</w:t>
      </w:r>
      <w:r>
        <w:rPr>
          <w:rFonts w:hint="eastAsia"/>
        </w:rPr>
        <w:t>分，其中宏观经济学部分</w:t>
      </w:r>
      <w:r>
        <w:rPr>
          <w:rFonts w:hint="eastAsia"/>
        </w:rPr>
        <w:t>60</w:t>
      </w:r>
      <w:r>
        <w:rPr>
          <w:rFonts w:hint="eastAsia"/>
        </w:rPr>
        <w:t>分，金融学部分</w:t>
      </w:r>
      <w:r>
        <w:rPr>
          <w:rFonts w:hint="eastAsia"/>
        </w:rPr>
        <w:t>90</w:t>
      </w:r>
      <w:r>
        <w:rPr>
          <w:rFonts w:hint="eastAsia"/>
        </w:rPr>
        <w:t>分</w:t>
      </w:r>
      <w:r>
        <w:rPr>
          <w:rFonts w:hint="eastAsia"/>
        </w:rPr>
        <w:t>，</w:t>
      </w:r>
      <w:r>
        <w:rPr>
          <w:rFonts w:hint="eastAsia"/>
        </w:rPr>
        <w:t>题型涵盖名词解释、计算、简答、论述题等</w:t>
      </w:r>
      <w:r>
        <w:rPr>
          <w:rFonts w:hint="eastAsia"/>
        </w:rPr>
        <w:t>。</w:t>
      </w:r>
    </w:p>
    <w:p w14:paraId="36E98B15" w14:textId="77777777" w:rsidR="00E32242" w:rsidRDefault="00E32242">
      <w:pPr>
        <w:spacing w:line="360" w:lineRule="auto"/>
        <w:ind w:firstLineChars="200" w:firstLine="420"/>
      </w:pPr>
    </w:p>
    <w:p w14:paraId="3889855D" w14:textId="77777777" w:rsidR="00E32242" w:rsidRDefault="00C64E06">
      <w:pPr>
        <w:spacing w:line="360" w:lineRule="auto"/>
        <w:jc w:val="center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第二部分</w:t>
      </w:r>
      <w:r>
        <w:rPr>
          <w:rFonts w:hint="eastAsia"/>
          <w:b/>
          <w:bCs/>
          <w:sz w:val="24"/>
          <w:szCs w:val="22"/>
        </w:rPr>
        <w:t xml:space="preserve">  </w:t>
      </w:r>
      <w:r>
        <w:rPr>
          <w:rFonts w:hint="eastAsia"/>
          <w:b/>
          <w:bCs/>
          <w:sz w:val="24"/>
          <w:szCs w:val="22"/>
        </w:rPr>
        <w:t>考察要点</w:t>
      </w:r>
    </w:p>
    <w:p w14:paraId="0ECE075F" w14:textId="77777777" w:rsidR="00E32242" w:rsidRDefault="00C64E06">
      <w:pPr>
        <w:spacing w:line="360" w:lineRule="auto"/>
        <w:ind w:firstLineChars="400" w:firstLine="964"/>
        <w:jc w:val="center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宏观经济学部分</w:t>
      </w:r>
    </w:p>
    <w:p w14:paraId="10FD7F09" w14:textId="77777777" w:rsidR="00E32242" w:rsidRDefault="00C64E06">
      <w:pPr>
        <w:spacing w:line="360" w:lineRule="auto"/>
        <w:ind w:firstLineChars="200" w:firstLine="422"/>
        <w:rPr>
          <w:b/>
          <w:bCs/>
          <w:szCs w:val="22"/>
        </w:rPr>
      </w:pPr>
      <w:r>
        <w:rPr>
          <w:rFonts w:hint="eastAsia"/>
          <w:b/>
          <w:bCs/>
          <w:szCs w:val="22"/>
        </w:rPr>
        <w:t>一、宏观经济的基本指标及衡量</w:t>
      </w:r>
    </w:p>
    <w:p w14:paraId="67FF4699" w14:textId="77777777" w:rsidR="00E32242" w:rsidRDefault="00C64E06">
      <w:pPr>
        <w:snapToGrid w:val="0"/>
        <w:spacing w:line="360" w:lineRule="auto"/>
        <w:ind w:firstLineChars="400" w:firstLine="840"/>
      </w:pPr>
      <w:r>
        <w:rPr>
          <w:rFonts w:hint="eastAsia"/>
        </w:rPr>
        <w:t>宏观经济学特点</w:t>
      </w:r>
      <w:r>
        <w:t xml:space="preserve">    </w:t>
      </w:r>
    </w:p>
    <w:p w14:paraId="47443C9D" w14:textId="77777777" w:rsidR="00E32242" w:rsidRDefault="00C64E06">
      <w:pPr>
        <w:snapToGrid w:val="0"/>
        <w:spacing w:line="360" w:lineRule="auto"/>
        <w:ind w:firstLineChars="400" w:firstLine="840"/>
      </w:pPr>
      <w:r>
        <w:rPr>
          <w:rFonts w:hint="eastAsia"/>
        </w:rPr>
        <w:t>国内生产总值及</w:t>
      </w:r>
      <w:r>
        <w:rPr>
          <w:rFonts w:hint="eastAsia"/>
        </w:rPr>
        <w:t>其核算方法</w:t>
      </w:r>
    </w:p>
    <w:p w14:paraId="1FD6357E" w14:textId="77777777" w:rsidR="00E32242" w:rsidRDefault="00C64E06">
      <w:pPr>
        <w:snapToGrid w:val="0"/>
        <w:spacing w:line="360" w:lineRule="auto"/>
        <w:ind w:firstLineChars="400" w:firstLine="840"/>
      </w:pPr>
      <w:r>
        <w:rPr>
          <w:rFonts w:hint="eastAsia"/>
        </w:rPr>
        <w:t>国民收入得其他衡量指标</w:t>
      </w:r>
    </w:p>
    <w:p w14:paraId="77CEF02C" w14:textId="77777777" w:rsidR="00E32242" w:rsidRDefault="00C64E06">
      <w:pPr>
        <w:snapToGrid w:val="0"/>
        <w:spacing w:line="360" w:lineRule="auto"/>
        <w:ind w:firstLineChars="400" w:firstLine="840"/>
      </w:pPr>
      <w:r>
        <w:rPr>
          <w:rFonts w:hint="eastAsia"/>
        </w:rPr>
        <w:t>国民收入基本公式</w:t>
      </w:r>
    </w:p>
    <w:p w14:paraId="58E0BA2D" w14:textId="77777777" w:rsidR="00E32242" w:rsidRDefault="00C64E06">
      <w:pPr>
        <w:snapToGrid w:val="0"/>
        <w:spacing w:line="360" w:lineRule="auto"/>
        <w:ind w:firstLineChars="400" w:firstLine="840"/>
      </w:pPr>
      <w:r>
        <w:rPr>
          <w:rFonts w:hint="eastAsia"/>
        </w:rPr>
        <w:t>名义</w:t>
      </w:r>
      <w:r>
        <w:rPr>
          <w:rFonts w:hint="eastAsia"/>
        </w:rPr>
        <w:t>GDP</w:t>
      </w:r>
      <w:r>
        <w:rPr>
          <w:rFonts w:hint="eastAsia"/>
        </w:rPr>
        <w:t>和实际</w:t>
      </w:r>
      <w:r>
        <w:rPr>
          <w:rFonts w:hint="eastAsia"/>
        </w:rPr>
        <w:t>GDP</w:t>
      </w:r>
    </w:p>
    <w:p w14:paraId="4053234B" w14:textId="77777777" w:rsidR="00E32242" w:rsidRDefault="00C64E06">
      <w:pPr>
        <w:snapToGrid w:val="0"/>
        <w:spacing w:line="360" w:lineRule="auto"/>
        <w:ind w:firstLineChars="400" w:firstLine="840"/>
      </w:pPr>
      <w:r>
        <w:rPr>
          <w:rFonts w:hint="eastAsia"/>
        </w:rPr>
        <w:t>失业、物价水平和采购经理人指数</w:t>
      </w:r>
    </w:p>
    <w:p w14:paraId="507DD102" w14:textId="77777777" w:rsidR="00E32242" w:rsidRDefault="00C64E06">
      <w:pPr>
        <w:spacing w:line="360" w:lineRule="auto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二、国民收入的决定：收入</w:t>
      </w:r>
      <w:r>
        <w:rPr>
          <w:rFonts w:hint="eastAsia"/>
          <w:b/>
          <w:bCs/>
        </w:rPr>
        <w:t>-</w:t>
      </w:r>
      <w:r>
        <w:rPr>
          <w:rFonts w:hint="eastAsia"/>
          <w:b/>
          <w:bCs/>
        </w:rPr>
        <w:t>支出模型</w:t>
      </w:r>
      <w:r>
        <w:rPr>
          <w:b/>
          <w:bCs/>
        </w:rPr>
        <w:t xml:space="preserve"> </w:t>
      </w:r>
    </w:p>
    <w:p w14:paraId="05C80EA0" w14:textId="77777777" w:rsidR="00E32242" w:rsidRDefault="00C64E06">
      <w:pPr>
        <w:snapToGrid w:val="0"/>
        <w:spacing w:line="360" w:lineRule="auto"/>
        <w:ind w:firstLine="420"/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均衡产出</w:t>
      </w:r>
    </w:p>
    <w:p w14:paraId="66E5BBE2" w14:textId="77777777" w:rsidR="00E32242" w:rsidRDefault="00C64E06">
      <w:pPr>
        <w:snapToGrid w:val="0"/>
        <w:spacing w:line="360" w:lineRule="auto"/>
        <w:ind w:firstLine="420"/>
      </w:pPr>
      <w:r>
        <w:rPr>
          <w:rFonts w:hint="eastAsia"/>
        </w:rPr>
        <w:t xml:space="preserve"> </w:t>
      </w:r>
      <w:r>
        <w:t xml:space="preserve">   </w:t>
      </w:r>
      <w:proofErr w:type="gramStart"/>
      <w:r>
        <w:rPr>
          <w:rFonts w:hint="eastAsia"/>
        </w:rPr>
        <w:t>凯</w:t>
      </w:r>
      <w:proofErr w:type="gramEnd"/>
      <w:r>
        <w:rPr>
          <w:rFonts w:hint="eastAsia"/>
        </w:rPr>
        <w:t>恩</w:t>
      </w:r>
      <w:proofErr w:type="gramStart"/>
      <w:r>
        <w:rPr>
          <w:rFonts w:hint="eastAsia"/>
        </w:rPr>
        <w:t>斯消费</w:t>
      </w:r>
      <w:proofErr w:type="gramEnd"/>
      <w:r>
        <w:rPr>
          <w:rFonts w:hint="eastAsia"/>
        </w:rPr>
        <w:t>理论</w:t>
      </w:r>
    </w:p>
    <w:p w14:paraId="1665A9F1" w14:textId="77777777" w:rsidR="00E32242" w:rsidRDefault="00C64E06">
      <w:pPr>
        <w:snapToGrid w:val="0"/>
        <w:spacing w:line="360" w:lineRule="auto"/>
        <w:ind w:firstLineChars="400" w:firstLine="840"/>
      </w:pPr>
      <w:r>
        <w:rPr>
          <w:rFonts w:hint="eastAsia"/>
        </w:rPr>
        <w:t>两部门经济中国民收入的决定及乘数</w:t>
      </w:r>
    </w:p>
    <w:p w14:paraId="5535380C" w14:textId="77777777" w:rsidR="00E32242" w:rsidRDefault="00C64E06">
      <w:pPr>
        <w:snapToGrid w:val="0"/>
        <w:spacing w:line="360" w:lineRule="auto"/>
        <w:ind w:firstLineChars="400" w:firstLine="840"/>
      </w:pPr>
      <w:r>
        <w:rPr>
          <w:rFonts w:hint="eastAsia"/>
        </w:rPr>
        <w:t>三部门经济中国民收入的决定及乘数</w:t>
      </w:r>
    </w:p>
    <w:p w14:paraId="75B418B8" w14:textId="77777777" w:rsidR="00E32242" w:rsidRDefault="00C64E06">
      <w:pPr>
        <w:spacing w:line="360" w:lineRule="auto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三、国民收入的决定：</w:t>
      </w:r>
      <w:r>
        <w:rPr>
          <w:rFonts w:hint="eastAsia"/>
          <w:b/>
          <w:bCs/>
        </w:rPr>
        <w:t>IS-LM</w:t>
      </w:r>
      <w:r>
        <w:rPr>
          <w:rFonts w:hint="eastAsia"/>
          <w:b/>
          <w:bCs/>
        </w:rPr>
        <w:t>模型</w:t>
      </w:r>
    </w:p>
    <w:p w14:paraId="19254E6C" w14:textId="77777777" w:rsidR="00E32242" w:rsidRDefault="00C64E06">
      <w:pPr>
        <w:snapToGrid w:val="0"/>
        <w:spacing w:line="360" w:lineRule="auto"/>
        <w:ind w:firstLine="420"/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产品市场和</w:t>
      </w:r>
      <w:r>
        <w:rPr>
          <w:rFonts w:hint="eastAsia"/>
        </w:rPr>
        <w:t>IS</w:t>
      </w:r>
      <w:r>
        <w:rPr>
          <w:rFonts w:hint="eastAsia"/>
        </w:rPr>
        <w:t>曲线</w:t>
      </w:r>
    </w:p>
    <w:p w14:paraId="473E3736" w14:textId="77777777" w:rsidR="00E32242" w:rsidRDefault="00C64E06">
      <w:pPr>
        <w:snapToGrid w:val="0"/>
        <w:spacing w:line="360" w:lineRule="auto"/>
        <w:ind w:firstLine="420"/>
      </w:pPr>
      <w:r>
        <w:rPr>
          <w:rFonts w:hint="eastAsia"/>
        </w:rPr>
        <w:lastRenderedPageBreak/>
        <w:t xml:space="preserve"> </w:t>
      </w:r>
      <w:r>
        <w:t xml:space="preserve">   </w:t>
      </w:r>
      <w:r>
        <w:rPr>
          <w:rFonts w:hint="eastAsia"/>
        </w:rPr>
        <w:t>货币市场和</w:t>
      </w:r>
      <w:r>
        <w:rPr>
          <w:rFonts w:hint="eastAsia"/>
        </w:rPr>
        <w:t>LM</w:t>
      </w:r>
      <w:r>
        <w:rPr>
          <w:rFonts w:hint="eastAsia"/>
        </w:rPr>
        <w:t>曲线</w:t>
      </w:r>
    </w:p>
    <w:p w14:paraId="38D8F260" w14:textId="77777777" w:rsidR="00E32242" w:rsidRDefault="00C64E06">
      <w:pPr>
        <w:snapToGrid w:val="0"/>
        <w:spacing w:line="360" w:lineRule="auto"/>
        <w:ind w:firstLineChars="400" w:firstLine="840"/>
      </w:pPr>
      <w:r>
        <w:rPr>
          <w:rFonts w:hint="eastAsia"/>
        </w:rPr>
        <w:t>模型的结构和稳定性分析</w:t>
      </w:r>
    </w:p>
    <w:p w14:paraId="75D72BF5" w14:textId="77777777" w:rsidR="00E32242" w:rsidRDefault="00C64E06">
      <w:pPr>
        <w:snapToGrid w:val="0"/>
        <w:spacing w:line="360" w:lineRule="auto"/>
        <w:ind w:firstLineChars="400" w:firstLine="840"/>
      </w:pPr>
      <w:r>
        <w:rPr>
          <w:rFonts w:hint="eastAsia"/>
        </w:rPr>
        <w:t>模型的应用</w:t>
      </w:r>
    </w:p>
    <w:p w14:paraId="5ABE4319" w14:textId="77777777" w:rsidR="00E32242" w:rsidRDefault="00C64E06">
      <w:pPr>
        <w:spacing w:line="360" w:lineRule="auto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四、国民收入的决定：</w:t>
      </w:r>
      <w:r>
        <w:rPr>
          <w:rFonts w:hint="eastAsia"/>
          <w:b/>
          <w:bCs/>
        </w:rPr>
        <w:t>AD-AS</w:t>
      </w:r>
      <w:r>
        <w:rPr>
          <w:rFonts w:hint="eastAsia"/>
          <w:b/>
          <w:bCs/>
        </w:rPr>
        <w:t>模型</w:t>
      </w:r>
    </w:p>
    <w:p w14:paraId="502101E7" w14:textId="77777777" w:rsidR="00E32242" w:rsidRDefault="00C64E06">
      <w:pPr>
        <w:snapToGrid w:val="0"/>
        <w:spacing w:line="360" w:lineRule="auto"/>
        <w:ind w:firstLine="420"/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AD</w:t>
      </w:r>
      <w:r>
        <w:rPr>
          <w:rFonts w:hint="eastAsia"/>
        </w:rPr>
        <w:t>曲线</w:t>
      </w:r>
    </w:p>
    <w:p w14:paraId="1D52E35F" w14:textId="77777777" w:rsidR="00E32242" w:rsidRDefault="00C64E06">
      <w:pPr>
        <w:snapToGrid w:val="0"/>
        <w:spacing w:line="360" w:lineRule="auto"/>
        <w:ind w:firstLineChars="400" w:firstLine="840"/>
      </w:pPr>
      <w:r>
        <w:rPr>
          <w:rFonts w:hint="eastAsia"/>
        </w:rPr>
        <w:t>AS</w:t>
      </w:r>
      <w:r>
        <w:rPr>
          <w:rFonts w:hint="eastAsia"/>
        </w:rPr>
        <w:t>曲线</w:t>
      </w:r>
    </w:p>
    <w:p w14:paraId="0FE96EEF" w14:textId="77777777" w:rsidR="00E32242" w:rsidRDefault="00C64E06">
      <w:pPr>
        <w:snapToGrid w:val="0"/>
        <w:spacing w:line="360" w:lineRule="auto"/>
        <w:ind w:firstLineChars="400" w:firstLine="840"/>
      </w:pPr>
      <w:r>
        <w:rPr>
          <w:rFonts w:hint="eastAsia"/>
        </w:rPr>
        <w:t>模型的结构和应用</w:t>
      </w:r>
    </w:p>
    <w:p w14:paraId="09517BE1" w14:textId="77777777" w:rsidR="00E32242" w:rsidRDefault="00C64E06">
      <w:pPr>
        <w:snapToGrid w:val="0"/>
        <w:spacing w:line="360" w:lineRule="auto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五、失业与通货膨胀</w:t>
      </w:r>
    </w:p>
    <w:p w14:paraId="160A0AEE" w14:textId="77777777" w:rsidR="00E32242" w:rsidRDefault="00C64E06">
      <w:pPr>
        <w:snapToGrid w:val="0"/>
        <w:spacing w:line="360" w:lineRule="auto"/>
        <w:ind w:firstLineChars="400" w:firstLine="840"/>
      </w:pPr>
      <w:r>
        <w:rPr>
          <w:rFonts w:hint="eastAsia"/>
        </w:rPr>
        <w:t>失业的描述和原因</w:t>
      </w:r>
    </w:p>
    <w:p w14:paraId="1A521C0A" w14:textId="77777777" w:rsidR="00E32242" w:rsidRDefault="00C64E06">
      <w:pPr>
        <w:snapToGrid w:val="0"/>
        <w:spacing w:line="360" w:lineRule="auto"/>
        <w:ind w:firstLineChars="400" w:firstLine="840"/>
      </w:pPr>
      <w:r>
        <w:rPr>
          <w:rFonts w:hint="eastAsia"/>
        </w:rPr>
        <w:t>失业的影响因素</w:t>
      </w:r>
    </w:p>
    <w:p w14:paraId="5B0A5B5C" w14:textId="77777777" w:rsidR="00E32242" w:rsidRDefault="00C64E06">
      <w:pPr>
        <w:snapToGrid w:val="0"/>
        <w:spacing w:line="360" w:lineRule="auto"/>
        <w:ind w:firstLineChars="400" w:firstLine="840"/>
      </w:pPr>
      <w:r>
        <w:rPr>
          <w:rFonts w:hint="eastAsia"/>
        </w:rPr>
        <w:t>通货膨胀的描述和原因</w:t>
      </w:r>
    </w:p>
    <w:p w14:paraId="375FCD50" w14:textId="77777777" w:rsidR="00E32242" w:rsidRDefault="00C64E06">
      <w:pPr>
        <w:snapToGrid w:val="0"/>
        <w:spacing w:line="360" w:lineRule="auto"/>
        <w:ind w:firstLineChars="400" w:firstLine="840"/>
      </w:pPr>
      <w:r>
        <w:rPr>
          <w:rFonts w:hint="eastAsia"/>
        </w:rPr>
        <w:t>通货膨胀的成本</w:t>
      </w:r>
    </w:p>
    <w:p w14:paraId="71543753" w14:textId="77777777" w:rsidR="00E32242" w:rsidRDefault="00C64E06">
      <w:pPr>
        <w:snapToGrid w:val="0"/>
        <w:spacing w:line="360" w:lineRule="auto"/>
        <w:ind w:firstLineChars="400" w:firstLine="840"/>
      </w:pPr>
      <w:r>
        <w:rPr>
          <w:rFonts w:hint="eastAsia"/>
        </w:rPr>
        <w:t>失业与通货膨胀的关系</w:t>
      </w:r>
    </w:p>
    <w:p w14:paraId="46DB4D02" w14:textId="77777777" w:rsidR="00E32242" w:rsidRDefault="00C64E06">
      <w:pPr>
        <w:spacing w:line="360" w:lineRule="auto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六、宏观经济政策</w:t>
      </w:r>
    </w:p>
    <w:p w14:paraId="66262841" w14:textId="77777777" w:rsidR="00E32242" w:rsidRDefault="00C64E06">
      <w:pPr>
        <w:snapToGrid w:val="0"/>
        <w:spacing w:line="360" w:lineRule="auto"/>
        <w:ind w:firstLine="420"/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宏观经济政策目标以及对经济政策影响</w:t>
      </w:r>
    </w:p>
    <w:p w14:paraId="60E34058" w14:textId="77777777" w:rsidR="00E32242" w:rsidRDefault="00C64E06">
      <w:pPr>
        <w:snapToGrid w:val="0"/>
        <w:spacing w:line="360" w:lineRule="auto"/>
        <w:ind w:firstLine="420"/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财政政策及其效果</w:t>
      </w:r>
    </w:p>
    <w:p w14:paraId="09285E0B" w14:textId="77777777" w:rsidR="00E32242" w:rsidRDefault="00C64E06">
      <w:pPr>
        <w:snapToGrid w:val="0"/>
        <w:spacing w:line="360" w:lineRule="auto"/>
        <w:ind w:firstLineChars="400" w:firstLine="840"/>
      </w:pPr>
      <w:r>
        <w:rPr>
          <w:rFonts w:hint="eastAsia"/>
        </w:rPr>
        <w:t>货币政策及其效果</w:t>
      </w:r>
    </w:p>
    <w:p w14:paraId="6CAC78F3" w14:textId="77777777" w:rsidR="00E32242" w:rsidRDefault="00C64E06">
      <w:pPr>
        <w:snapToGrid w:val="0"/>
        <w:spacing w:line="360" w:lineRule="auto"/>
        <w:ind w:firstLineChars="400" w:firstLine="840"/>
      </w:pPr>
      <w:r>
        <w:rPr>
          <w:rFonts w:hint="eastAsia"/>
        </w:rPr>
        <w:t>两种政策的混合使用</w:t>
      </w:r>
    </w:p>
    <w:p w14:paraId="2FA901E2" w14:textId="77777777" w:rsidR="00E32242" w:rsidRDefault="00C64E06">
      <w:pPr>
        <w:snapToGrid w:val="0"/>
        <w:spacing w:line="360" w:lineRule="auto"/>
      </w:pP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关于总需求管理政策的争论</w:t>
      </w:r>
    </w:p>
    <w:p w14:paraId="01B9FB78" w14:textId="77777777" w:rsidR="00E32242" w:rsidRDefault="00C64E06">
      <w:pPr>
        <w:snapToGrid w:val="0"/>
        <w:spacing w:line="360" w:lineRule="auto"/>
      </w:pP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供给管理政策</w:t>
      </w:r>
    </w:p>
    <w:p w14:paraId="56F0DF31" w14:textId="77777777" w:rsidR="00E32242" w:rsidRDefault="00C64E06">
      <w:pPr>
        <w:spacing w:line="360" w:lineRule="auto"/>
        <w:jc w:val="center"/>
        <w:rPr>
          <w:b/>
          <w:bCs/>
          <w:sz w:val="24"/>
          <w:szCs w:val="22"/>
        </w:rPr>
      </w:pPr>
      <w:r>
        <w:rPr>
          <w:rFonts w:hint="eastAsia"/>
          <w:b/>
          <w:bCs/>
          <w:sz w:val="24"/>
          <w:szCs w:val="22"/>
        </w:rPr>
        <w:t>金融学部分</w:t>
      </w:r>
    </w:p>
    <w:p w14:paraId="71AF4845" w14:textId="77777777" w:rsidR="00E32242" w:rsidRDefault="00C64E06">
      <w:pPr>
        <w:spacing w:line="360" w:lineRule="auto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一、货币与货币制度</w:t>
      </w:r>
    </w:p>
    <w:p w14:paraId="6C747E5E" w14:textId="77777777" w:rsidR="00E32242" w:rsidRDefault="00C64E06">
      <w:pPr>
        <w:spacing w:line="360" w:lineRule="auto"/>
        <w:ind w:firstLineChars="400" w:firstLine="840"/>
      </w:pPr>
      <w:r>
        <w:rPr>
          <w:rFonts w:hint="eastAsia"/>
        </w:rPr>
        <w:t>货币的职能与货币制度、货币层次</w:t>
      </w:r>
    </w:p>
    <w:p w14:paraId="4C20CD5D" w14:textId="77777777" w:rsidR="00E32242" w:rsidRDefault="00C64E06">
      <w:pPr>
        <w:spacing w:line="360" w:lineRule="auto"/>
        <w:ind w:firstLineChars="400" w:firstLine="840"/>
      </w:pPr>
      <w:r>
        <w:rPr>
          <w:rFonts w:hint="eastAsia"/>
        </w:rPr>
        <w:t>国际货币体系</w:t>
      </w:r>
    </w:p>
    <w:p w14:paraId="2173544F" w14:textId="77777777" w:rsidR="00E32242" w:rsidRDefault="00C64E06">
      <w:pPr>
        <w:spacing w:line="360" w:lineRule="auto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二、利息和利率</w:t>
      </w:r>
    </w:p>
    <w:p w14:paraId="60762746" w14:textId="77777777" w:rsidR="00E32242" w:rsidRDefault="00C64E06">
      <w:pPr>
        <w:spacing w:line="360" w:lineRule="auto"/>
        <w:ind w:firstLineChars="400" w:firstLine="840"/>
      </w:pPr>
      <w:r>
        <w:rPr>
          <w:rFonts w:hint="eastAsia"/>
        </w:rPr>
        <w:t>利息、利率及货币时间价值</w:t>
      </w:r>
    </w:p>
    <w:p w14:paraId="2FCD9AB2" w14:textId="77777777" w:rsidR="00E32242" w:rsidRDefault="00C64E06">
      <w:pPr>
        <w:spacing w:line="360" w:lineRule="auto"/>
        <w:ind w:firstLineChars="400" w:firstLine="840"/>
      </w:pPr>
      <w:r>
        <w:rPr>
          <w:rFonts w:hint="eastAsia"/>
        </w:rPr>
        <w:t>利率决定理论</w:t>
      </w:r>
    </w:p>
    <w:p w14:paraId="7DB47893" w14:textId="77777777" w:rsidR="00E32242" w:rsidRDefault="00C64E06">
      <w:pPr>
        <w:spacing w:line="360" w:lineRule="auto"/>
        <w:ind w:firstLineChars="400" w:firstLine="840"/>
      </w:pPr>
      <w:r>
        <w:rPr>
          <w:rFonts w:hint="eastAsia"/>
        </w:rPr>
        <w:t>利率的风险结构和期限结构</w:t>
      </w:r>
    </w:p>
    <w:p w14:paraId="0F829E69" w14:textId="77777777" w:rsidR="00E32242" w:rsidRDefault="00C64E06">
      <w:pPr>
        <w:spacing w:line="360" w:lineRule="auto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三、外汇与汇率</w:t>
      </w:r>
    </w:p>
    <w:p w14:paraId="2103D120" w14:textId="77777777" w:rsidR="00E32242" w:rsidRDefault="00C64E06">
      <w:pPr>
        <w:spacing w:line="360" w:lineRule="auto"/>
        <w:ind w:firstLineChars="400" w:firstLine="840"/>
      </w:pPr>
      <w:r>
        <w:rPr>
          <w:rFonts w:hint="eastAsia"/>
        </w:rPr>
        <w:t>外汇与汇率种类、汇率制度</w:t>
      </w:r>
    </w:p>
    <w:p w14:paraId="2A7A8E32" w14:textId="77777777" w:rsidR="00E32242" w:rsidRDefault="00C64E06">
      <w:pPr>
        <w:spacing w:line="360" w:lineRule="auto"/>
        <w:ind w:firstLineChars="400" w:firstLine="840"/>
      </w:pPr>
      <w:r>
        <w:rPr>
          <w:rFonts w:hint="eastAsia"/>
        </w:rPr>
        <w:t>汇率决定理论</w:t>
      </w:r>
    </w:p>
    <w:p w14:paraId="3AADD846" w14:textId="77777777" w:rsidR="00E32242" w:rsidRDefault="00C64E06">
      <w:pPr>
        <w:spacing w:line="360" w:lineRule="auto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四、金融系统</w:t>
      </w:r>
    </w:p>
    <w:p w14:paraId="3A4ED38A" w14:textId="77777777" w:rsidR="00E32242" w:rsidRDefault="00C64E06">
      <w:pPr>
        <w:spacing w:line="360" w:lineRule="auto"/>
        <w:ind w:firstLineChars="400" w:firstLine="840"/>
      </w:pPr>
      <w:r>
        <w:rPr>
          <w:rFonts w:hint="eastAsia"/>
        </w:rPr>
        <w:lastRenderedPageBreak/>
        <w:t>金融系统的组成及联系机制</w:t>
      </w:r>
    </w:p>
    <w:p w14:paraId="7D16345D" w14:textId="77777777" w:rsidR="00E32242" w:rsidRDefault="00C64E06">
      <w:pPr>
        <w:spacing w:line="360" w:lineRule="auto"/>
        <w:ind w:firstLineChars="400" w:firstLine="840"/>
      </w:pPr>
      <w:r>
        <w:rPr>
          <w:rFonts w:hint="eastAsia"/>
        </w:rPr>
        <w:t>货币市场</w:t>
      </w:r>
    </w:p>
    <w:p w14:paraId="57E3CED1" w14:textId="77777777" w:rsidR="00E32242" w:rsidRDefault="00C64E06">
      <w:pPr>
        <w:spacing w:line="360" w:lineRule="auto"/>
        <w:ind w:firstLineChars="400" w:firstLine="840"/>
      </w:pPr>
      <w:r>
        <w:rPr>
          <w:rFonts w:hint="eastAsia"/>
        </w:rPr>
        <w:t>资本市场</w:t>
      </w:r>
    </w:p>
    <w:p w14:paraId="59820BA7" w14:textId="77777777" w:rsidR="00E32242" w:rsidRDefault="00C64E06">
      <w:pPr>
        <w:spacing w:line="360" w:lineRule="auto"/>
        <w:ind w:firstLineChars="400" w:firstLine="840"/>
      </w:pPr>
      <w:r>
        <w:rPr>
          <w:rFonts w:hint="eastAsia"/>
        </w:rPr>
        <w:t>金融衍生品市场</w:t>
      </w:r>
    </w:p>
    <w:p w14:paraId="6D05FCCD" w14:textId="77777777" w:rsidR="00E32242" w:rsidRDefault="00C64E06">
      <w:pPr>
        <w:spacing w:line="360" w:lineRule="auto"/>
        <w:ind w:firstLineChars="400" w:firstLine="840"/>
      </w:pPr>
      <w:r>
        <w:rPr>
          <w:rFonts w:hint="eastAsia"/>
        </w:rPr>
        <w:t>金融机构（种类、功能）</w:t>
      </w:r>
    </w:p>
    <w:p w14:paraId="19C03D56" w14:textId="77777777" w:rsidR="00E32242" w:rsidRDefault="00C64E06">
      <w:pPr>
        <w:spacing w:line="360" w:lineRule="auto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五、商业银行</w:t>
      </w:r>
    </w:p>
    <w:p w14:paraId="7EFDBF44" w14:textId="77777777" w:rsidR="00E32242" w:rsidRDefault="00C64E06">
      <w:pPr>
        <w:spacing w:line="360" w:lineRule="auto"/>
        <w:ind w:firstLineChars="400" w:firstLine="840"/>
      </w:pPr>
      <w:r>
        <w:rPr>
          <w:rFonts w:hint="eastAsia"/>
        </w:rPr>
        <w:t>商业银行的负债业务与管理</w:t>
      </w:r>
    </w:p>
    <w:p w14:paraId="679F884A" w14:textId="77777777" w:rsidR="00E32242" w:rsidRDefault="00C64E06">
      <w:pPr>
        <w:spacing w:line="360" w:lineRule="auto"/>
        <w:ind w:firstLineChars="400" w:firstLine="840"/>
      </w:pPr>
      <w:r>
        <w:rPr>
          <w:rFonts w:hint="eastAsia"/>
        </w:rPr>
        <w:t>商业银行的资产业务与管理</w:t>
      </w:r>
    </w:p>
    <w:p w14:paraId="6E3C70FF" w14:textId="77777777" w:rsidR="00E32242" w:rsidRDefault="00C64E06">
      <w:pPr>
        <w:spacing w:line="360" w:lineRule="auto"/>
        <w:ind w:firstLineChars="400" w:firstLine="840"/>
      </w:pPr>
      <w:r>
        <w:rPr>
          <w:rFonts w:hint="eastAsia"/>
        </w:rPr>
        <w:t>商业银行的中间业务和表外业务</w:t>
      </w:r>
    </w:p>
    <w:p w14:paraId="1FC7D8FB" w14:textId="77777777" w:rsidR="00E32242" w:rsidRDefault="00C64E06">
      <w:pPr>
        <w:spacing w:line="360" w:lineRule="auto"/>
        <w:ind w:firstLineChars="400" w:firstLine="840"/>
      </w:pPr>
      <w:r>
        <w:rPr>
          <w:rFonts w:hint="eastAsia"/>
        </w:rPr>
        <w:t>商业银行的流动性管理</w:t>
      </w:r>
    </w:p>
    <w:p w14:paraId="50DBCFDA" w14:textId="77777777" w:rsidR="00E32242" w:rsidRDefault="00C64E06">
      <w:pPr>
        <w:spacing w:line="360" w:lineRule="auto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六、货币供求</w:t>
      </w:r>
    </w:p>
    <w:p w14:paraId="1BC1C0A7" w14:textId="77777777" w:rsidR="00E32242" w:rsidRDefault="00C64E06">
      <w:pPr>
        <w:spacing w:line="360" w:lineRule="auto"/>
        <w:ind w:firstLineChars="400" w:firstLine="840"/>
      </w:pPr>
      <w:r>
        <w:rPr>
          <w:rFonts w:hint="eastAsia"/>
        </w:rPr>
        <w:t>中央银行职能</w:t>
      </w:r>
    </w:p>
    <w:p w14:paraId="73089411" w14:textId="77777777" w:rsidR="00E32242" w:rsidRDefault="00C64E06">
      <w:pPr>
        <w:spacing w:line="360" w:lineRule="auto"/>
        <w:ind w:firstLineChars="400" w:firstLine="840"/>
      </w:pPr>
      <w:r>
        <w:rPr>
          <w:rFonts w:hint="eastAsia"/>
        </w:rPr>
        <w:t>存款货币创造与货币供给</w:t>
      </w:r>
    </w:p>
    <w:p w14:paraId="2B25425E" w14:textId="77777777" w:rsidR="00E32242" w:rsidRDefault="00C64E06">
      <w:pPr>
        <w:spacing w:line="360" w:lineRule="auto"/>
        <w:ind w:firstLineChars="400" w:firstLine="840"/>
      </w:pPr>
      <w:r>
        <w:rPr>
          <w:rFonts w:hint="eastAsia"/>
        </w:rPr>
        <w:t>货币需求理论</w:t>
      </w:r>
    </w:p>
    <w:p w14:paraId="4F6FE318" w14:textId="77777777" w:rsidR="00E32242" w:rsidRDefault="00C64E06">
      <w:pPr>
        <w:spacing w:line="360" w:lineRule="auto"/>
        <w:ind w:firstLineChars="400" w:firstLine="840"/>
      </w:pPr>
      <w:r>
        <w:rPr>
          <w:rFonts w:hint="eastAsia"/>
        </w:rPr>
        <w:t>通货膨胀与通货紧缩</w:t>
      </w:r>
    </w:p>
    <w:p w14:paraId="1267EC7C" w14:textId="77777777" w:rsidR="00E32242" w:rsidRDefault="00C64E06">
      <w:pPr>
        <w:spacing w:line="360" w:lineRule="auto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七、货币政策</w:t>
      </w:r>
    </w:p>
    <w:p w14:paraId="37E7FF94" w14:textId="77777777" w:rsidR="00E32242" w:rsidRDefault="00C64E06">
      <w:pPr>
        <w:spacing w:line="360" w:lineRule="auto"/>
        <w:ind w:firstLineChars="400" w:firstLine="840"/>
      </w:pPr>
      <w:r>
        <w:rPr>
          <w:rFonts w:hint="eastAsia"/>
        </w:rPr>
        <w:t>货币政策及其目标</w:t>
      </w:r>
    </w:p>
    <w:p w14:paraId="5A44A2E3" w14:textId="77777777" w:rsidR="00E32242" w:rsidRDefault="00C64E06">
      <w:pPr>
        <w:spacing w:line="360" w:lineRule="auto"/>
        <w:ind w:firstLineChars="400" w:firstLine="840"/>
      </w:pPr>
      <w:r>
        <w:rPr>
          <w:rFonts w:hint="eastAsia"/>
        </w:rPr>
        <w:t>货币政策工具及其作用机理</w:t>
      </w:r>
    </w:p>
    <w:p w14:paraId="1629BB4E" w14:textId="77777777" w:rsidR="00E32242" w:rsidRDefault="00C64E06">
      <w:pPr>
        <w:spacing w:line="360" w:lineRule="auto"/>
        <w:ind w:firstLineChars="400" w:firstLine="840"/>
      </w:pPr>
      <w:r>
        <w:rPr>
          <w:rFonts w:hint="eastAsia"/>
        </w:rPr>
        <w:t>货币政策的传导机制和中介目标</w:t>
      </w:r>
    </w:p>
    <w:p w14:paraId="5A0354D5" w14:textId="77777777" w:rsidR="00E32242" w:rsidRDefault="00C64E06">
      <w:pPr>
        <w:spacing w:line="360" w:lineRule="auto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八、国际收支与国际资本流动</w:t>
      </w:r>
    </w:p>
    <w:p w14:paraId="4CDA63BE" w14:textId="77777777" w:rsidR="00E32242" w:rsidRDefault="00C64E06">
      <w:pPr>
        <w:spacing w:line="360" w:lineRule="auto"/>
        <w:ind w:firstLineChars="400" w:firstLine="840"/>
      </w:pPr>
      <w:r>
        <w:rPr>
          <w:rFonts w:hint="eastAsia"/>
        </w:rPr>
        <w:t>国际收支</w:t>
      </w:r>
    </w:p>
    <w:p w14:paraId="71314D3B" w14:textId="77777777" w:rsidR="00E32242" w:rsidRDefault="00C64E06">
      <w:pPr>
        <w:spacing w:line="360" w:lineRule="auto"/>
        <w:ind w:firstLineChars="400" w:firstLine="840"/>
      </w:pPr>
      <w:r>
        <w:rPr>
          <w:rFonts w:hint="eastAsia"/>
        </w:rPr>
        <w:t>国际储备</w:t>
      </w:r>
    </w:p>
    <w:p w14:paraId="0B6CCF24" w14:textId="77777777" w:rsidR="00E32242" w:rsidRDefault="00C64E06">
      <w:pPr>
        <w:spacing w:line="360" w:lineRule="auto"/>
        <w:ind w:firstLineChars="400" w:firstLine="840"/>
      </w:pPr>
      <w:r>
        <w:rPr>
          <w:rFonts w:hint="eastAsia"/>
        </w:rPr>
        <w:t>国际资本流动</w:t>
      </w:r>
    </w:p>
    <w:p w14:paraId="6853518C" w14:textId="77777777" w:rsidR="00E32242" w:rsidRDefault="00C64E06">
      <w:pPr>
        <w:spacing w:line="360" w:lineRule="auto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九、投融资选择与风险管理</w:t>
      </w:r>
    </w:p>
    <w:p w14:paraId="5F6C4DE9" w14:textId="77777777" w:rsidR="00E32242" w:rsidRDefault="00C64E06">
      <w:pPr>
        <w:spacing w:line="360" w:lineRule="auto"/>
        <w:ind w:firstLineChars="200" w:firstLine="422"/>
      </w:pPr>
      <w:r>
        <w:rPr>
          <w:rFonts w:hint="eastAsia"/>
          <w:b/>
          <w:bCs/>
        </w:rPr>
        <w:t xml:space="preserve"> </w:t>
      </w:r>
      <w:r>
        <w:t xml:space="preserve">   </w:t>
      </w:r>
      <w:r>
        <w:rPr>
          <w:rFonts w:hint="eastAsia"/>
        </w:rPr>
        <w:t>收益、风险类型及其度量</w:t>
      </w:r>
    </w:p>
    <w:p w14:paraId="58F5CC9E" w14:textId="77777777" w:rsidR="00E32242" w:rsidRDefault="00C64E06">
      <w:pPr>
        <w:spacing w:line="360" w:lineRule="auto"/>
        <w:ind w:firstLineChars="200" w:firstLine="420"/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最优投资组合与</w:t>
      </w:r>
      <w:r>
        <w:rPr>
          <w:rFonts w:hint="eastAsia"/>
        </w:rPr>
        <w:t>CAPM</w:t>
      </w:r>
      <w:r>
        <w:rPr>
          <w:rFonts w:hint="eastAsia"/>
        </w:rPr>
        <w:t>模型</w:t>
      </w:r>
    </w:p>
    <w:p w14:paraId="68B7B598" w14:textId="77777777" w:rsidR="00E32242" w:rsidRDefault="00C64E06">
      <w:pPr>
        <w:spacing w:line="360" w:lineRule="auto"/>
        <w:ind w:firstLineChars="200" w:firstLine="420"/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融资类型及融资理论</w:t>
      </w:r>
    </w:p>
    <w:p w14:paraId="6ABE6D25" w14:textId="77777777" w:rsidR="00E32242" w:rsidRDefault="00C64E06">
      <w:pPr>
        <w:spacing w:line="360" w:lineRule="auto"/>
        <w:ind w:firstLineChars="200" w:firstLine="420"/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金融工具在风险管理中的作用</w:t>
      </w:r>
    </w:p>
    <w:p w14:paraId="266E17FC" w14:textId="77777777" w:rsidR="00E32242" w:rsidRDefault="00C64E06">
      <w:pPr>
        <w:spacing w:line="360" w:lineRule="auto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十、金融监管</w:t>
      </w:r>
    </w:p>
    <w:p w14:paraId="689AD578" w14:textId="77777777" w:rsidR="00E32242" w:rsidRDefault="00C64E06">
      <w:pPr>
        <w:spacing w:line="360" w:lineRule="auto"/>
        <w:ind w:firstLineChars="400" w:firstLine="840"/>
      </w:pPr>
      <w:r>
        <w:rPr>
          <w:rFonts w:hint="eastAsia"/>
        </w:rPr>
        <w:t>金融监管理论</w:t>
      </w:r>
    </w:p>
    <w:p w14:paraId="16FC3BE8" w14:textId="77777777" w:rsidR="00E32242" w:rsidRDefault="00C64E06">
      <w:pPr>
        <w:spacing w:line="360" w:lineRule="auto"/>
        <w:ind w:firstLineChars="400" w:firstLine="840"/>
      </w:pPr>
      <w:r>
        <w:rPr>
          <w:rFonts w:hint="eastAsia"/>
        </w:rPr>
        <w:lastRenderedPageBreak/>
        <w:t>巴塞尔协议</w:t>
      </w:r>
    </w:p>
    <w:p w14:paraId="6592E88E" w14:textId="77777777" w:rsidR="00E32242" w:rsidRDefault="00C64E06">
      <w:pPr>
        <w:spacing w:line="360" w:lineRule="auto"/>
        <w:ind w:firstLineChars="400" w:firstLine="840"/>
      </w:pPr>
      <w:r>
        <w:rPr>
          <w:rFonts w:hint="eastAsia"/>
        </w:rPr>
        <w:t>金融机构监管</w:t>
      </w:r>
    </w:p>
    <w:p w14:paraId="4FF06F0B" w14:textId="77777777" w:rsidR="00E32242" w:rsidRDefault="00C64E06">
      <w:pPr>
        <w:spacing w:line="360" w:lineRule="auto"/>
        <w:ind w:firstLineChars="400" w:firstLine="840"/>
      </w:pPr>
      <w:r>
        <w:rPr>
          <w:rFonts w:hint="eastAsia"/>
        </w:rPr>
        <w:t>金融市场监管</w:t>
      </w:r>
    </w:p>
    <w:p w14:paraId="55E0E292" w14:textId="77777777" w:rsidR="00E32242" w:rsidRDefault="00C64E06">
      <w:pPr>
        <w:spacing w:line="360" w:lineRule="auto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十一、</w:t>
      </w:r>
      <w:r>
        <w:rPr>
          <w:b/>
          <w:bCs/>
        </w:rPr>
        <w:t>综合分析能力</w:t>
      </w:r>
    </w:p>
    <w:p w14:paraId="2F60D242" w14:textId="77777777" w:rsidR="00E32242" w:rsidRDefault="00C64E06">
      <w:pPr>
        <w:spacing w:line="360" w:lineRule="auto"/>
        <w:ind w:leftChars="200" w:left="420" w:firstLineChars="200" w:firstLine="420"/>
      </w:pPr>
      <w:r>
        <w:t>运用</w:t>
      </w:r>
      <w:r>
        <w:rPr>
          <w:rFonts w:hint="eastAsia"/>
        </w:rPr>
        <w:t>金融学</w:t>
      </w:r>
      <w:r>
        <w:t>基本概念和基本理论，结合</w:t>
      </w:r>
      <w:r>
        <w:rPr>
          <w:rFonts w:hint="eastAsia"/>
        </w:rPr>
        <w:t>金融经济实践</w:t>
      </w:r>
      <w:r>
        <w:t>中的具体问题进行分析并提出解决问题的建议。</w:t>
      </w:r>
    </w:p>
    <w:p w14:paraId="306EF1F0" w14:textId="77777777" w:rsidR="00E32242" w:rsidRDefault="00E32242">
      <w:pPr>
        <w:spacing w:line="360" w:lineRule="auto"/>
        <w:ind w:firstLineChars="200" w:firstLine="420"/>
      </w:pPr>
    </w:p>
    <w:p w14:paraId="2B44545D" w14:textId="77777777" w:rsidR="00E32242" w:rsidRDefault="00C64E06">
      <w:pPr>
        <w:spacing w:line="360" w:lineRule="auto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复习参考书目：</w:t>
      </w:r>
    </w:p>
    <w:p w14:paraId="776534E5" w14:textId="5848128B" w:rsidR="00E32242" w:rsidRDefault="00C64E06">
      <w:pPr>
        <w:spacing w:line="300" w:lineRule="auto"/>
        <w:ind w:left="420"/>
      </w:pPr>
      <w:r>
        <w:rPr>
          <w:rFonts w:hint="eastAsia"/>
        </w:rPr>
        <w:t>1.</w:t>
      </w:r>
      <w:r>
        <w:rPr>
          <w:rFonts w:hint="eastAsia"/>
        </w:rPr>
        <w:t>高鸿业，《西方经济学（宏观部分）》第</w:t>
      </w:r>
      <w:r>
        <w:rPr>
          <w:rFonts w:hint="eastAsia"/>
        </w:rPr>
        <w:t>8</w:t>
      </w:r>
      <w:r>
        <w:rPr>
          <w:rFonts w:hint="eastAsia"/>
        </w:rPr>
        <w:t>版，中国人民大学出版社，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</w:p>
    <w:p w14:paraId="00AB2F7B" w14:textId="77777777" w:rsidR="00E32242" w:rsidRDefault="00C64E06">
      <w:pPr>
        <w:spacing w:line="300" w:lineRule="auto"/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彭兴韵，《金融学原理》（第</w:t>
      </w:r>
      <w:r>
        <w:rPr>
          <w:rFonts w:hint="eastAsia"/>
        </w:rPr>
        <w:t>5</w:t>
      </w:r>
      <w:r>
        <w:rPr>
          <w:rFonts w:hint="eastAsia"/>
        </w:rPr>
        <w:t>版），</w:t>
      </w:r>
      <w:r>
        <w:t>格致出版社</w:t>
      </w:r>
      <w:r>
        <w:rPr>
          <w:rFonts w:hint="eastAsia"/>
        </w:rPr>
        <w:t>，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</w:p>
    <w:p w14:paraId="42491F95" w14:textId="77777777" w:rsidR="00E32242" w:rsidRDefault="00E32242">
      <w:pPr>
        <w:spacing w:line="300" w:lineRule="auto"/>
        <w:ind w:left="420"/>
      </w:pPr>
    </w:p>
    <w:p w14:paraId="0A4D5CD1" w14:textId="77777777" w:rsidR="00E32242" w:rsidRDefault="00C64E06">
      <w:pPr>
        <w:spacing w:line="300" w:lineRule="auto"/>
        <w:ind w:left="420"/>
        <w:rPr>
          <w:b/>
          <w:bCs/>
        </w:rPr>
      </w:pPr>
      <w:r>
        <w:rPr>
          <w:rFonts w:hint="eastAsia"/>
          <w:b/>
          <w:bCs/>
        </w:rPr>
        <w:t>复试参考书目：</w:t>
      </w:r>
    </w:p>
    <w:p w14:paraId="54EE7A04" w14:textId="77777777" w:rsidR="00E32242" w:rsidRDefault="00C64E06">
      <w:pPr>
        <w:spacing w:line="300" w:lineRule="auto"/>
        <w:ind w:left="420"/>
      </w:pPr>
      <w:r>
        <w:rPr>
          <w:rFonts w:hint="eastAsia"/>
        </w:rPr>
        <w:t>3.</w:t>
      </w:r>
      <w:r>
        <w:rPr>
          <w:rFonts w:hint="eastAsia"/>
        </w:rPr>
        <w:t>魏建国，《证券投资学》，高等教育出版社，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</w:p>
    <w:p w14:paraId="5BCBDF37" w14:textId="7C281112" w:rsidR="00E32242" w:rsidRDefault="00C64E06">
      <w:pPr>
        <w:spacing w:line="300" w:lineRule="auto"/>
        <w:ind w:left="420"/>
      </w:pPr>
      <w:r>
        <w:rPr>
          <w:rFonts w:hint="eastAsia"/>
        </w:rPr>
        <w:t>4.</w:t>
      </w:r>
      <w:r w:rsidR="00250772">
        <w:rPr>
          <w:rFonts w:hint="eastAsia"/>
        </w:rPr>
        <w:t>罗斯</w:t>
      </w:r>
      <w:r>
        <w:rPr>
          <w:rFonts w:hint="eastAsia"/>
        </w:rPr>
        <w:t>，《公司</w:t>
      </w:r>
      <w:r w:rsidR="00250772">
        <w:rPr>
          <w:rFonts w:hint="eastAsia"/>
        </w:rPr>
        <w:t>理财</w:t>
      </w:r>
      <w:r>
        <w:rPr>
          <w:rFonts w:hint="eastAsia"/>
        </w:rPr>
        <w:t>》，</w:t>
      </w:r>
      <w:r w:rsidR="00250772">
        <w:rPr>
          <w:rFonts w:hint="eastAsia"/>
        </w:rPr>
        <w:t>第</w:t>
      </w:r>
      <w:r w:rsidR="00250772">
        <w:rPr>
          <w:rFonts w:hint="eastAsia"/>
        </w:rPr>
        <w:t>11</w:t>
      </w:r>
      <w:r w:rsidR="00250772">
        <w:rPr>
          <w:rFonts w:hint="eastAsia"/>
        </w:rPr>
        <w:t>版，机械工业出版社</w:t>
      </w:r>
    </w:p>
    <w:p w14:paraId="373F332C" w14:textId="77777777" w:rsidR="00E32242" w:rsidRDefault="00E32242">
      <w:pPr>
        <w:spacing w:line="360" w:lineRule="auto"/>
        <w:ind w:firstLineChars="200" w:firstLine="420"/>
      </w:pPr>
    </w:p>
    <w:p w14:paraId="0E9AF1EF" w14:textId="77777777" w:rsidR="00E32242" w:rsidRDefault="00E32242">
      <w:pPr>
        <w:spacing w:line="360" w:lineRule="auto"/>
        <w:ind w:firstLineChars="200" w:firstLine="420"/>
      </w:pPr>
    </w:p>
    <w:p w14:paraId="69401438" w14:textId="77777777" w:rsidR="00E32242" w:rsidRDefault="00E32242">
      <w:pPr>
        <w:spacing w:line="360" w:lineRule="auto"/>
        <w:ind w:firstLineChars="200" w:firstLine="420"/>
      </w:pPr>
    </w:p>
    <w:sectPr w:rsidR="00E32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1E"/>
    <w:rsid w:val="0000658E"/>
    <w:rsid w:val="00010E24"/>
    <w:rsid w:val="000149B0"/>
    <w:rsid w:val="00063424"/>
    <w:rsid w:val="00086A9E"/>
    <w:rsid w:val="000F4483"/>
    <w:rsid w:val="001043C8"/>
    <w:rsid w:val="00120C79"/>
    <w:rsid w:val="00132EAE"/>
    <w:rsid w:val="00155F37"/>
    <w:rsid w:val="00194176"/>
    <w:rsid w:val="001E195D"/>
    <w:rsid w:val="00215483"/>
    <w:rsid w:val="00247AD2"/>
    <w:rsid w:val="00250772"/>
    <w:rsid w:val="002829E6"/>
    <w:rsid w:val="00287E22"/>
    <w:rsid w:val="00293FBB"/>
    <w:rsid w:val="002B3638"/>
    <w:rsid w:val="00313481"/>
    <w:rsid w:val="00314C67"/>
    <w:rsid w:val="0032482A"/>
    <w:rsid w:val="0032750C"/>
    <w:rsid w:val="0035682E"/>
    <w:rsid w:val="003C0BC1"/>
    <w:rsid w:val="003C708E"/>
    <w:rsid w:val="00446D57"/>
    <w:rsid w:val="00457A9D"/>
    <w:rsid w:val="00471719"/>
    <w:rsid w:val="004816FE"/>
    <w:rsid w:val="004C5A01"/>
    <w:rsid w:val="004D650F"/>
    <w:rsid w:val="004E2363"/>
    <w:rsid w:val="00507465"/>
    <w:rsid w:val="00524D9E"/>
    <w:rsid w:val="0054154F"/>
    <w:rsid w:val="0055727E"/>
    <w:rsid w:val="005D0DF9"/>
    <w:rsid w:val="00644242"/>
    <w:rsid w:val="00644DDB"/>
    <w:rsid w:val="00660CD3"/>
    <w:rsid w:val="006A3057"/>
    <w:rsid w:val="006F40EE"/>
    <w:rsid w:val="007165D5"/>
    <w:rsid w:val="00721DDB"/>
    <w:rsid w:val="00725A3B"/>
    <w:rsid w:val="00734AEE"/>
    <w:rsid w:val="0076758C"/>
    <w:rsid w:val="007A486B"/>
    <w:rsid w:val="007E1BD4"/>
    <w:rsid w:val="007F5F97"/>
    <w:rsid w:val="00825E3E"/>
    <w:rsid w:val="00866EC3"/>
    <w:rsid w:val="008744A1"/>
    <w:rsid w:val="008B588B"/>
    <w:rsid w:val="008D524A"/>
    <w:rsid w:val="008F1D73"/>
    <w:rsid w:val="00901FFA"/>
    <w:rsid w:val="00953027"/>
    <w:rsid w:val="00982481"/>
    <w:rsid w:val="009A1808"/>
    <w:rsid w:val="009C7E6A"/>
    <w:rsid w:val="00A2417A"/>
    <w:rsid w:val="00A665AF"/>
    <w:rsid w:val="00A8607B"/>
    <w:rsid w:val="00AB717C"/>
    <w:rsid w:val="00AE3483"/>
    <w:rsid w:val="00B06545"/>
    <w:rsid w:val="00B377E4"/>
    <w:rsid w:val="00B56E2D"/>
    <w:rsid w:val="00B57D75"/>
    <w:rsid w:val="00B61E04"/>
    <w:rsid w:val="00B6771E"/>
    <w:rsid w:val="00B75712"/>
    <w:rsid w:val="00BE16D4"/>
    <w:rsid w:val="00C13573"/>
    <w:rsid w:val="00C26351"/>
    <w:rsid w:val="00C6222D"/>
    <w:rsid w:val="00C64E06"/>
    <w:rsid w:val="00C93AEC"/>
    <w:rsid w:val="00CB2A38"/>
    <w:rsid w:val="00CC5262"/>
    <w:rsid w:val="00CD0CE2"/>
    <w:rsid w:val="00D30CF9"/>
    <w:rsid w:val="00D5777D"/>
    <w:rsid w:val="00D91AEC"/>
    <w:rsid w:val="00DC0878"/>
    <w:rsid w:val="00DE480C"/>
    <w:rsid w:val="00DE57FC"/>
    <w:rsid w:val="00E32242"/>
    <w:rsid w:val="00E331C2"/>
    <w:rsid w:val="00E546EB"/>
    <w:rsid w:val="00E737A8"/>
    <w:rsid w:val="00EF508B"/>
    <w:rsid w:val="00F55917"/>
    <w:rsid w:val="00FD29C9"/>
    <w:rsid w:val="1C2E66DE"/>
    <w:rsid w:val="548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1D10"/>
  <w15:docId w15:val="{9DB7B094-CC34-4A54-92B4-90473491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keepLines/>
      <w:spacing w:line="360" w:lineRule="auto"/>
      <w:jc w:val="center"/>
      <w:outlineLvl w:val="0"/>
    </w:pPr>
    <w:rPr>
      <w:b/>
      <w:kern w:val="44"/>
      <w:sz w:val="3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TOC3">
    <w:name w:val="toc 3"/>
    <w:basedOn w:val="a"/>
    <w:next w:val="a"/>
    <w:uiPriority w:val="39"/>
    <w:qFormat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</w:style>
  <w:style w:type="paragraph" w:styleId="TOC2">
    <w:name w:val="toc 2"/>
    <w:basedOn w:val="a"/>
    <w:next w:val="a"/>
    <w:uiPriority w:val="39"/>
    <w:qFormat/>
    <w:pPr>
      <w:ind w:leftChars="200" w:left="420"/>
    </w:pPr>
  </w:style>
  <w:style w:type="paragraph" w:styleId="ad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table" w:styleId="af0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Pr>
      <w:b/>
    </w:rPr>
  </w:style>
  <w:style w:type="character" w:styleId="af2">
    <w:name w:val="Hyperlink"/>
    <w:basedOn w:val="a0"/>
    <w:uiPriority w:val="99"/>
    <w:unhideWhenUsed/>
    <w:qFormat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Pr>
      <w:sz w:val="21"/>
      <w:szCs w:val="21"/>
    </w:rPr>
  </w:style>
  <w:style w:type="paragraph" w:customStyle="1" w:styleId="11">
    <w:name w:val="毕业论文标题1"/>
    <w:basedOn w:val="1"/>
    <w:qFormat/>
    <w:pPr>
      <w:spacing w:beforeLines="50" w:before="156" w:afterLines="50" w:after="156"/>
    </w:pPr>
    <w:rPr>
      <w:bCs/>
      <w:sz w:val="32"/>
      <w:szCs w:val="32"/>
    </w:rPr>
  </w:style>
  <w:style w:type="character" w:customStyle="1" w:styleId="10">
    <w:name w:val="标题 1 字符"/>
    <w:link w:val="1"/>
    <w:qFormat/>
    <w:rPr>
      <w:b/>
      <w:kern w:val="44"/>
      <w:sz w:val="30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WPSOffice3">
    <w:name w:val="WPSOffice手动目录 3"/>
    <w:qFormat/>
    <w:pPr>
      <w:ind w:leftChars="400" w:left="400"/>
    </w:p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Pr>
      <w:b/>
      <w:bCs/>
      <w:sz w:val="32"/>
      <w:szCs w:val="32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Pr>
      <w:sz w:val="21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customStyle="1" w:styleId="21">
    <w:name w:val="毕业论文标题2"/>
    <w:basedOn w:val="2"/>
    <w:qFormat/>
    <w:pPr>
      <w:adjustRightInd w:val="0"/>
      <w:snapToGrid w:val="0"/>
      <w:spacing w:before="120" w:after="120" w:line="400" w:lineRule="exact"/>
    </w:pPr>
    <w:rPr>
      <w:rFonts w:ascii="Times New Roman" w:hAnsi="Times New Roman" w:cs="Times New Roman"/>
      <w:sz w:val="28"/>
      <w:szCs w:val="28"/>
    </w:rPr>
  </w:style>
  <w:style w:type="paragraph" w:customStyle="1" w:styleId="31">
    <w:name w:val="毕业论文标题3"/>
    <w:basedOn w:val="3"/>
    <w:qFormat/>
    <w:pPr>
      <w:spacing w:before="120" w:after="120" w:line="400" w:lineRule="exact"/>
    </w:pPr>
    <w:rPr>
      <w:sz w:val="24"/>
      <w:szCs w:val="24"/>
    </w:rPr>
  </w:style>
  <w:style w:type="paragraph" w:customStyle="1" w:styleId="af4">
    <w:name w:val="毕业论文图标格式"/>
    <w:basedOn w:val="a"/>
    <w:qFormat/>
    <w:pPr>
      <w:spacing w:line="400" w:lineRule="exact"/>
      <w:ind w:firstLineChars="200" w:firstLine="422"/>
      <w:jc w:val="center"/>
    </w:pPr>
    <w:rPr>
      <w:rFonts w:ascii="黑体" w:eastAsia="黑体" w:hAnsi="黑体"/>
      <w:b/>
      <w:bCs/>
      <w:color w:val="000000" w:themeColor="text1"/>
      <w:szCs w:val="21"/>
    </w:rPr>
  </w:style>
  <w:style w:type="paragraph" w:customStyle="1" w:styleId="32">
    <w:name w:val="毕论标题3"/>
    <w:basedOn w:val="11"/>
  </w:style>
  <w:style w:type="paragraph" w:customStyle="1" w:styleId="af5">
    <w:name w:val="毕业论文图表格式"/>
    <w:basedOn w:val="a"/>
    <w:qFormat/>
    <w:pPr>
      <w:spacing w:line="400" w:lineRule="exact"/>
      <w:ind w:firstLineChars="200" w:firstLine="422"/>
      <w:jc w:val="center"/>
    </w:pPr>
    <w:rPr>
      <w:rFonts w:ascii="黑体" w:eastAsia="黑体" w:hAnsi="黑体"/>
      <w:bCs/>
      <w:color w:val="000000" w:themeColor="text1"/>
      <w:szCs w:val="21"/>
    </w:rPr>
  </w:style>
  <w:style w:type="paragraph" w:customStyle="1" w:styleId="af6">
    <w:name w:val="毕业论文正文格式"/>
    <w:basedOn w:val="a"/>
    <w:qFormat/>
    <w:pPr>
      <w:spacing w:line="400" w:lineRule="exact"/>
      <w:ind w:firstLineChars="200" w:firstLine="480"/>
    </w:pPr>
    <w:rPr>
      <w:rFonts w:ascii="宋体" w:hAnsi="宋体" w:cs="宋体"/>
      <w:color w:val="000000" w:themeColor="text1"/>
      <w:sz w:val="24"/>
      <w:szCs w:val="24"/>
    </w:rPr>
  </w:style>
  <w:style w:type="paragraph" w:customStyle="1" w:styleId="af7">
    <w:name w:val="毕业论文数据来源格式"/>
    <w:basedOn w:val="a"/>
    <w:qFormat/>
    <w:pPr>
      <w:spacing w:line="400" w:lineRule="exact"/>
      <w:ind w:firstLineChars="200" w:firstLine="420"/>
    </w:pPr>
    <w:rPr>
      <w:rFonts w:asciiTheme="minorEastAsia" w:eastAsiaTheme="minorEastAsia" w:hAnsiTheme="minorEastAsia" w:cstheme="minorEastAsia"/>
      <w:szCs w:val="21"/>
    </w:rPr>
  </w:style>
  <w:style w:type="paragraph" w:customStyle="1" w:styleId="af8">
    <w:name w:val="毕业论文图表名格式"/>
    <w:basedOn w:val="a"/>
    <w:qFormat/>
    <w:pPr>
      <w:spacing w:line="400" w:lineRule="exact"/>
      <w:ind w:firstLineChars="200" w:firstLine="422"/>
      <w:jc w:val="center"/>
    </w:pPr>
    <w:rPr>
      <w:rFonts w:ascii="黑体" w:eastAsia="黑体" w:hAnsi="黑体"/>
      <w:bCs/>
      <w:color w:val="000000" w:themeColor="text1"/>
      <w:szCs w:val="21"/>
    </w:rPr>
  </w:style>
  <w:style w:type="paragraph" w:customStyle="1" w:styleId="af9">
    <w:name w:val="毕业论文表内容格式"/>
    <w:basedOn w:val="a"/>
    <w:qFormat/>
    <w:pPr>
      <w:framePr w:hSpace="180" w:wrap="around" w:vAnchor="text" w:hAnchor="page" w:x="1796" w:y="163"/>
      <w:widowControl/>
      <w:jc w:val="center"/>
    </w:pPr>
    <w:rPr>
      <w:color w:val="000000" w:themeColor="text1"/>
      <w:szCs w:val="21"/>
    </w:rPr>
  </w:style>
  <w:style w:type="paragraph" w:customStyle="1" w:styleId="afa">
    <w:name w:val="毕论中文文献样式"/>
    <w:basedOn w:val="a"/>
    <w:qFormat/>
    <w:pPr>
      <w:tabs>
        <w:tab w:val="left" w:pos="312"/>
      </w:tabs>
      <w:spacing w:line="400" w:lineRule="exact"/>
      <w:ind w:left="200" w:hangingChars="200" w:hanging="200"/>
    </w:pPr>
    <w:rPr>
      <w:rFonts w:asciiTheme="minorEastAsia" w:eastAsiaTheme="minorEastAsia" w:hAnsiTheme="minorEastAsia" w:cstheme="minorEastAsia"/>
      <w:color w:val="000000" w:themeColor="text1"/>
      <w:kern w:val="0"/>
      <w:sz w:val="24"/>
      <w:szCs w:val="24"/>
      <w:shd w:val="clear" w:color="auto" w:fill="FFFFFF"/>
    </w:rPr>
  </w:style>
  <w:style w:type="paragraph" w:customStyle="1" w:styleId="afb">
    <w:name w:val="毕论英文文献样式"/>
    <w:basedOn w:val="a"/>
    <w:qFormat/>
    <w:pPr>
      <w:spacing w:line="400" w:lineRule="exact"/>
      <w:ind w:left="200" w:hangingChars="200" w:hanging="200"/>
    </w:pPr>
    <w:rPr>
      <w:rFonts w:eastAsia="Times New Roman"/>
      <w:sz w:val="24"/>
      <w:szCs w:val="24"/>
    </w:rPr>
  </w:style>
  <w:style w:type="paragraph" w:customStyle="1" w:styleId="afc">
    <w:name w:val="毕论目录名格式"/>
    <w:basedOn w:val="a"/>
    <w:qFormat/>
    <w:pPr>
      <w:jc w:val="center"/>
    </w:pPr>
    <w:rPr>
      <w:rFonts w:ascii="宋体" w:hAnsi="宋体"/>
      <w:b/>
      <w:bCs/>
      <w:sz w:val="32"/>
      <w:szCs w:val="32"/>
    </w:rPr>
  </w:style>
  <w:style w:type="paragraph" w:customStyle="1" w:styleId="afd">
    <w:name w:val="毕论目录格式"/>
    <w:basedOn w:val="TOC1"/>
    <w:qFormat/>
    <w:pPr>
      <w:tabs>
        <w:tab w:val="right" w:leader="dot" w:pos="8788"/>
      </w:tabs>
      <w:spacing w:line="360" w:lineRule="auto"/>
    </w:pPr>
  </w:style>
  <w:style w:type="paragraph" w:customStyle="1" w:styleId="afe">
    <w:name w:val="样式"/>
    <w:basedOn w:val="11"/>
  </w:style>
  <w:style w:type="paragraph" w:customStyle="1" w:styleId="aff">
    <w:name w:val="毕业正文"/>
    <w:basedOn w:val="a"/>
    <w:link w:val="Char"/>
    <w:qFormat/>
    <w:pPr>
      <w:spacing w:beforeLines="50" w:before="50" w:afterLines="50" w:after="50" w:line="360" w:lineRule="auto"/>
      <w:ind w:leftChars="200" w:left="200" w:rightChars="200" w:right="200" w:firstLineChars="200" w:firstLine="200"/>
    </w:pPr>
    <w:rPr>
      <w:rFonts w:cs="宋体"/>
      <w:szCs w:val="24"/>
    </w:rPr>
  </w:style>
  <w:style w:type="character" w:customStyle="1" w:styleId="Char">
    <w:name w:val="毕业正文 Char"/>
    <w:link w:val="aff"/>
    <w:qFormat/>
    <w:rPr>
      <w:rFonts w:cs="宋体"/>
      <w:sz w:val="21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sz w:val="21"/>
    </w:rPr>
  </w:style>
  <w:style w:type="character" w:customStyle="1" w:styleId="af">
    <w:name w:val="批注主题 字符"/>
    <w:basedOn w:val="a4"/>
    <w:link w:val="ae"/>
    <w:uiPriority w:val="99"/>
    <w:semiHidden/>
    <w:rPr>
      <w:b/>
      <w:bCs/>
      <w:sz w:val="21"/>
    </w:rPr>
  </w:style>
  <w:style w:type="paragraph" w:customStyle="1" w:styleId="12">
    <w:name w:val="样式1"/>
    <w:basedOn w:val="a"/>
    <w:qFormat/>
    <w:pPr>
      <w:spacing w:line="400" w:lineRule="exact"/>
      <w:ind w:left="480" w:hangingChars="200" w:hanging="480"/>
    </w:pPr>
    <w:rPr>
      <w:rFonts w:eastAsiaTheme="minorEastAsia"/>
      <w:sz w:val="24"/>
      <w:szCs w:val="24"/>
    </w:rPr>
  </w:style>
  <w:style w:type="paragraph" w:styleId="aff0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邢慧茹</cp:lastModifiedBy>
  <cp:revision>38</cp:revision>
  <dcterms:created xsi:type="dcterms:W3CDTF">2021-07-15T01:55:00Z</dcterms:created>
  <dcterms:modified xsi:type="dcterms:W3CDTF">2022-05-25T14:05:00Z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